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ascii="仿宋" w:hAnsi="仿宋" w:eastAsia="仿宋" w:cs="黑体"/>
          <w:b/>
          <w:bCs/>
          <w:sz w:val="32"/>
          <w:szCs w:val="32"/>
          <w:shd w:val="clear" w:color="auto" w:fill="FFFFFF"/>
        </w:rPr>
        <w:t>附件2</w:t>
      </w:r>
      <w:r>
        <w:rPr>
          <w:rFonts w:hint="eastAsia" w:ascii="Times New Roman" w:hAnsi="Times New Roman" w:eastAsia="仿宋" w:cs="Times New Roman"/>
          <w:b/>
          <w:bCs/>
          <w:sz w:val="32"/>
          <w:szCs w:val="32"/>
          <w:shd w:val="clear" w:color="auto" w:fill="FFFFFF"/>
        </w:rPr>
        <w:t>：</w:t>
      </w:r>
    </w:p>
    <w:p>
      <w:pPr>
        <w:shd w:val="clear" w:color="auto" w:fill="FFFFFF"/>
        <w:autoSpaceDE w:val="0"/>
        <w:adjustRightInd w:val="0"/>
        <w:snapToGrid w:val="0"/>
        <w:spacing w:line="600" w:lineRule="exact"/>
        <w:jc w:val="center"/>
        <w:rPr>
          <w:rFonts w:ascii="黑体" w:hAnsi="黑体" w:eastAsia="黑体" w:cs="方正小标宋简体"/>
          <w:b/>
          <w:kern w:val="0"/>
          <w:sz w:val="36"/>
          <w:szCs w:val="36"/>
        </w:rPr>
      </w:pPr>
      <w:r>
        <w:rPr>
          <w:rFonts w:hint="eastAsia" w:ascii="黑体" w:hAnsi="黑体" w:eastAsia="黑体" w:cs="方正小标宋简体"/>
          <w:b/>
          <w:kern w:val="0"/>
          <w:sz w:val="36"/>
          <w:szCs w:val="36"/>
        </w:rPr>
        <w:t>安徽省人工智能主题基金</w:t>
      </w:r>
    </w:p>
    <w:p>
      <w:pPr>
        <w:shd w:val="clear" w:color="auto" w:fill="FFFFFF"/>
        <w:autoSpaceDE w:val="0"/>
        <w:adjustRightInd w:val="0"/>
        <w:snapToGrid w:val="0"/>
        <w:spacing w:afterLines="50" w:line="600" w:lineRule="exact"/>
        <w:jc w:val="center"/>
        <w:rPr>
          <w:rFonts w:hint="default" w:ascii="黑体" w:hAnsi="黑体" w:eastAsia="黑体" w:cs="方正小标宋简体"/>
          <w:b/>
          <w:kern w:val="0"/>
          <w:sz w:val="36"/>
          <w:szCs w:val="36"/>
          <w:shd w:val="clear" w:color="auto" w:fill="FFFFFF"/>
          <w:lang w:val="en-US" w:eastAsia="zh-CN"/>
        </w:rPr>
      </w:pPr>
      <w:r>
        <w:rPr>
          <w:rFonts w:hint="eastAsia" w:ascii="黑体" w:hAnsi="黑体" w:eastAsia="黑体" w:cs="方正小标宋简体"/>
          <w:b/>
          <w:kern w:val="0"/>
          <w:sz w:val="36"/>
          <w:szCs w:val="36"/>
        </w:rPr>
        <w:t>子基金管理机构评分标准</w:t>
      </w:r>
      <w:r>
        <w:rPr>
          <w:rFonts w:hint="eastAsia" w:ascii="黑体" w:hAnsi="黑体" w:eastAsia="黑体" w:cs="方正小标宋简体"/>
          <w:b/>
          <w:kern w:val="0"/>
          <w:sz w:val="36"/>
          <w:szCs w:val="36"/>
          <w:lang w:val="en-US" w:eastAsia="zh-CN"/>
        </w:rPr>
        <w:t xml:space="preserve"> </w:t>
      </w:r>
    </w:p>
    <w:tbl>
      <w:tblPr>
        <w:tblStyle w:val="6"/>
        <w:tblW w:w="889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1"/>
        <w:gridCol w:w="3543"/>
        <w:gridCol w:w="851"/>
        <w:gridCol w:w="340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jc w:val="center"/>
              <w:rPr>
                <w:rFonts w:ascii="黑体" w:hAnsi="黑体" w:eastAsia="黑体" w:cs="Times New Roman"/>
                <w:b/>
                <w:bCs/>
                <w:kern w:val="0"/>
                <w:sz w:val="28"/>
                <w:szCs w:val="28"/>
              </w:rPr>
            </w:pPr>
            <w:r>
              <w:rPr>
                <w:rFonts w:ascii="黑体" w:hAnsi="黑体" w:eastAsia="黑体" w:cs="Times New Roman"/>
                <w:b/>
                <w:bCs/>
                <w:kern w:val="0"/>
                <w:sz w:val="28"/>
                <w:szCs w:val="28"/>
              </w:rPr>
              <w:t>序号</w:t>
            </w:r>
          </w:p>
        </w:tc>
        <w:tc>
          <w:tcPr>
            <w:tcW w:w="3543" w:type="dxa"/>
            <w:vAlign w:val="center"/>
          </w:tcPr>
          <w:p>
            <w:pPr>
              <w:jc w:val="center"/>
              <w:rPr>
                <w:rFonts w:ascii="黑体" w:hAnsi="黑体" w:eastAsia="黑体" w:cs="Times New Roman"/>
                <w:b/>
                <w:bCs/>
                <w:kern w:val="0"/>
                <w:sz w:val="28"/>
                <w:szCs w:val="28"/>
              </w:rPr>
            </w:pPr>
            <w:r>
              <w:rPr>
                <w:rFonts w:ascii="黑体" w:hAnsi="黑体" w:eastAsia="黑体" w:cs="Times New Roman"/>
                <w:b/>
                <w:bCs/>
                <w:kern w:val="0"/>
                <w:sz w:val="28"/>
                <w:szCs w:val="28"/>
              </w:rPr>
              <w:t>评分项目</w:t>
            </w:r>
          </w:p>
        </w:tc>
        <w:tc>
          <w:tcPr>
            <w:tcW w:w="851" w:type="dxa"/>
            <w:vAlign w:val="center"/>
          </w:tcPr>
          <w:p>
            <w:pPr>
              <w:jc w:val="center"/>
              <w:rPr>
                <w:rFonts w:ascii="黑体" w:hAnsi="黑体" w:eastAsia="黑体" w:cs="Times New Roman"/>
                <w:b/>
                <w:bCs/>
                <w:kern w:val="0"/>
                <w:sz w:val="28"/>
                <w:szCs w:val="28"/>
              </w:rPr>
            </w:pPr>
            <w:r>
              <w:rPr>
                <w:rFonts w:ascii="黑体" w:hAnsi="黑体" w:eastAsia="黑体" w:cs="Times New Roman"/>
                <w:b/>
                <w:bCs/>
                <w:kern w:val="0"/>
                <w:sz w:val="28"/>
                <w:szCs w:val="28"/>
              </w:rPr>
              <w:t>分值</w:t>
            </w:r>
          </w:p>
        </w:tc>
        <w:tc>
          <w:tcPr>
            <w:tcW w:w="3402" w:type="dxa"/>
            <w:vAlign w:val="center"/>
          </w:tcPr>
          <w:p>
            <w:pPr>
              <w:jc w:val="center"/>
              <w:rPr>
                <w:rFonts w:ascii="黑体" w:hAnsi="黑体" w:eastAsia="黑体" w:cs="Times New Roman"/>
                <w:b/>
                <w:bCs/>
                <w:kern w:val="0"/>
                <w:sz w:val="28"/>
                <w:szCs w:val="28"/>
              </w:rPr>
            </w:pPr>
            <w:r>
              <w:rPr>
                <w:rFonts w:ascii="黑体" w:hAnsi="黑体" w:eastAsia="黑体" w:cs="Times New Roman"/>
                <w:b/>
                <w:bCs/>
                <w:kern w:val="0"/>
                <w:sz w:val="28"/>
                <w:szCs w:val="28"/>
              </w:rPr>
              <w:t>评分标准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97" w:type="dxa"/>
            <w:gridSpan w:val="4"/>
            <w:vAlign w:val="center"/>
          </w:tcPr>
          <w:p>
            <w:pPr>
              <w:spacing w:beforeLines="50" w:afterLines="50" w:line="360" w:lineRule="exact"/>
              <w:jc w:val="center"/>
              <w:rPr>
                <w:rFonts w:cs="Times New Roman" w:asciiTheme="minorEastAsia" w:hAnsiTheme="minorEastAsia" w:eastAsiaTheme="minorEastAsia"/>
                <w:b/>
                <w:kern w:val="0"/>
                <w:sz w:val="24"/>
                <w:szCs w:val="24"/>
              </w:rPr>
            </w:pPr>
            <w:r>
              <w:rPr>
                <w:rFonts w:cs="Times New Roman" w:asciiTheme="minorEastAsia" w:hAnsiTheme="minorEastAsia" w:eastAsiaTheme="minorEastAsia"/>
                <w:b/>
                <w:kern w:val="0"/>
                <w:sz w:val="24"/>
                <w:szCs w:val="24"/>
              </w:rPr>
              <w:t>一</w:t>
            </w:r>
            <w:r>
              <w:rPr>
                <w:rFonts w:hint="eastAsia" w:cs="Times New Roman" w:asciiTheme="minorEastAsia" w:hAnsiTheme="minorEastAsia" w:eastAsiaTheme="minorEastAsia"/>
                <w:b/>
                <w:kern w:val="0"/>
                <w:sz w:val="24"/>
                <w:szCs w:val="24"/>
              </w:rPr>
              <w:t>、</w:t>
            </w:r>
            <w:r>
              <w:rPr>
                <w:rFonts w:cs="Times New Roman" w:asciiTheme="minorEastAsia" w:hAnsiTheme="minorEastAsia" w:eastAsiaTheme="minorEastAsia"/>
                <w:b/>
                <w:kern w:val="0"/>
                <w:sz w:val="24"/>
                <w:szCs w:val="24"/>
              </w:rPr>
              <w:t>管理机构规范性</w:t>
            </w:r>
            <w:r>
              <w:rPr>
                <w:rFonts w:hint="eastAsia" w:cs="Times New Roman" w:asciiTheme="minorEastAsia" w:hAnsiTheme="minorEastAsia" w:eastAsiaTheme="minorEastAsia"/>
                <w:b/>
                <w:kern w:val="0"/>
                <w:sz w:val="24"/>
                <w:szCs w:val="24"/>
              </w:rPr>
              <w:t>（10分）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管理机构具有健全的管理制度和机制，包括但不限于项目立项机制、投资决策机制、激励约束机制、资产托管机制、财务管理制度和风险控制机制等。</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10</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综合打分。优秀的，得8-10分；良好的，6-8分；一般的，0-6分。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97" w:type="dxa"/>
            <w:gridSpan w:val="4"/>
            <w:vAlign w:val="center"/>
          </w:tcPr>
          <w:p>
            <w:pPr>
              <w:spacing w:beforeLines="50" w:afterLines="50" w:line="360" w:lineRule="exact"/>
              <w:jc w:val="center"/>
              <w:rPr>
                <w:rFonts w:cs="Times New Roman" w:asciiTheme="minorEastAsia" w:hAnsiTheme="minorEastAsia" w:eastAsiaTheme="minorEastAsia"/>
                <w:b/>
                <w:kern w:val="0"/>
                <w:sz w:val="24"/>
                <w:szCs w:val="24"/>
              </w:rPr>
            </w:pPr>
            <w:r>
              <w:rPr>
                <w:rFonts w:hint="eastAsia" w:cs="Times New Roman" w:asciiTheme="minorEastAsia" w:hAnsiTheme="minorEastAsia" w:eastAsiaTheme="minorEastAsia"/>
                <w:b/>
                <w:kern w:val="0"/>
                <w:sz w:val="24"/>
                <w:szCs w:val="24"/>
              </w:rPr>
              <w:t>二、管理机构募资及管理能力（25分）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highlight w:val="none"/>
              </w:rPr>
            </w:pPr>
            <w:r>
              <w:rPr>
                <w:rFonts w:hint="eastAsia" w:cs="Times New Roman" w:asciiTheme="minorEastAsia" w:hAnsiTheme="minorEastAsia" w:eastAsiaTheme="minorEastAsia"/>
                <w:kern w:val="0"/>
                <w:sz w:val="24"/>
                <w:szCs w:val="24"/>
                <w:highlight w:val="none"/>
              </w:rPr>
              <w:t>2</w:t>
            </w:r>
          </w:p>
        </w:tc>
        <w:tc>
          <w:tcPr>
            <w:tcW w:w="3543" w:type="dxa"/>
            <w:vAlign w:val="center"/>
          </w:tcPr>
          <w:p>
            <w:pPr>
              <w:spacing w:line="360" w:lineRule="exact"/>
              <w:jc w:val="left"/>
              <w:rPr>
                <w:rFonts w:cs="Times New Roman" w:asciiTheme="minorEastAsia" w:hAnsiTheme="minorEastAsia" w:eastAsiaTheme="minorEastAsia"/>
                <w:kern w:val="0"/>
                <w:sz w:val="24"/>
                <w:szCs w:val="24"/>
                <w:highlight w:val="none"/>
              </w:rPr>
            </w:pPr>
            <w:r>
              <w:rPr>
                <w:rFonts w:hint="eastAsia" w:cs="Times New Roman" w:asciiTheme="minorEastAsia" w:hAnsiTheme="minorEastAsia" w:eastAsiaTheme="minorEastAsia"/>
                <w:kern w:val="0"/>
                <w:sz w:val="24"/>
                <w:szCs w:val="24"/>
                <w:highlight w:val="none"/>
              </w:rPr>
              <w:t>管理机构募资能力。主要考量子基金募资进度，管理机构已取得的出资承诺函及意向函额度。</w:t>
            </w:r>
            <w:bookmarkStart w:id="0" w:name="_GoBack"/>
            <w:bookmarkEnd w:id="0"/>
          </w:p>
        </w:tc>
        <w:tc>
          <w:tcPr>
            <w:tcW w:w="851" w:type="dxa"/>
            <w:vAlign w:val="center"/>
          </w:tcPr>
          <w:p>
            <w:pPr>
              <w:spacing w:line="360" w:lineRule="exact"/>
              <w:jc w:val="center"/>
              <w:rPr>
                <w:rFonts w:cs="Times New Roman" w:asciiTheme="minorEastAsia" w:hAnsiTheme="minorEastAsia" w:eastAsiaTheme="minorEastAsia"/>
                <w:kern w:val="0"/>
                <w:sz w:val="24"/>
                <w:szCs w:val="24"/>
                <w:highlight w:val="none"/>
              </w:rPr>
            </w:pPr>
            <w:r>
              <w:rPr>
                <w:rFonts w:hint="eastAsia" w:cs="Times New Roman" w:asciiTheme="minorEastAsia" w:hAnsiTheme="minorEastAsia" w:eastAsiaTheme="minorEastAsia"/>
                <w:kern w:val="0"/>
                <w:sz w:val="24"/>
                <w:szCs w:val="24"/>
                <w:highlight w:val="none"/>
              </w:rPr>
              <w:t>15</w:t>
            </w:r>
          </w:p>
        </w:tc>
        <w:tc>
          <w:tcPr>
            <w:tcW w:w="3402" w:type="dxa"/>
            <w:vAlign w:val="center"/>
          </w:tcPr>
          <w:p>
            <w:pPr>
              <w:spacing w:line="360" w:lineRule="exact"/>
              <w:jc w:val="left"/>
              <w:rPr>
                <w:rFonts w:cs="Times New Roman" w:asciiTheme="minorEastAsia" w:hAnsiTheme="minorEastAsia" w:eastAsiaTheme="minorEastAsia"/>
                <w:kern w:val="0"/>
                <w:sz w:val="24"/>
                <w:szCs w:val="24"/>
                <w:highlight w:val="none"/>
              </w:rPr>
            </w:pPr>
            <w:r>
              <w:rPr>
                <w:rFonts w:hint="eastAsia" w:cs="Times New Roman" w:asciiTheme="minorEastAsia" w:hAnsiTheme="minorEastAsia" w:eastAsiaTheme="minorEastAsia"/>
                <w:kern w:val="0"/>
                <w:sz w:val="24"/>
                <w:szCs w:val="24"/>
                <w:highlight w:val="none"/>
              </w:rPr>
              <w:t>管理机构已取得出资承诺函及意向函，承诺函额度（除人工智能母基金外）占子基金规模的比例大于或等于50%，得 15 分；小于子基金规模比例50%的，以50%为基数按比例计算得分，计分公式：[(出资承诺函额度/子基金规模)/ 50%]×15 分。对于意向函，按上述规则折半计算。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highlight w:val="none"/>
              </w:rPr>
            </w:pPr>
            <w:r>
              <w:rPr>
                <w:rFonts w:hint="eastAsia" w:cs="Times New Roman" w:asciiTheme="minorEastAsia" w:hAnsiTheme="minorEastAsia" w:eastAsiaTheme="minorEastAsia"/>
                <w:kern w:val="0"/>
                <w:sz w:val="24"/>
                <w:szCs w:val="24"/>
                <w:highlight w:val="none"/>
              </w:rPr>
              <w:t>3</w:t>
            </w:r>
          </w:p>
        </w:tc>
        <w:tc>
          <w:tcPr>
            <w:tcW w:w="3543" w:type="dxa"/>
            <w:vAlign w:val="center"/>
          </w:tcPr>
          <w:p>
            <w:pPr>
              <w:spacing w:line="360" w:lineRule="exact"/>
              <w:jc w:val="left"/>
              <w:rPr>
                <w:rFonts w:cs="Times New Roman" w:asciiTheme="minorEastAsia" w:hAnsiTheme="minorEastAsia" w:eastAsiaTheme="minorEastAsia"/>
                <w:kern w:val="0"/>
                <w:sz w:val="24"/>
                <w:szCs w:val="24"/>
                <w:highlight w:val="none"/>
              </w:rPr>
            </w:pPr>
            <w:r>
              <w:rPr>
                <w:rFonts w:hint="eastAsia" w:cs="Times New Roman" w:asciiTheme="minorEastAsia" w:hAnsiTheme="minorEastAsia" w:eastAsiaTheme="minorEastAsia"/>
                <w:kern w:val="0"/>
                <w:sz w:val="24"/>
                <w:szCs w:val="24"/>
                <w:highlight w:val="none"/>
              </w:rPr>
              <w:t>社会化募资占比。社会化出资额占子基金实缴总额的比例。</w:t>
            </w:r>
          </w:p>
        </w:tc>
        <w:tc>
          <w:tcPr>
            <w:tcW w:w="851" w:type="dxa"/>
            <w:vAlign w:val="center"/>
          </w:tcPr>
          <w:p>
            <w:pPr>
              <w:spacing w:line="360" w:lineRule="exact"/>
              <w:jc w:val="center"/>
              <w:rPr>
                <w:rFonts w:cs="Times New Roman" w:asciiTheme="minorEastAsia" w:hAnsiTheme="minorEastAsia" w:eastAsiaTheme="minorEastAsia"/>
                <w:kern w:val="0"/>
                <w:sz w:val="24"/>
                <w:szCs w:val="24"/>
                <w:highlight w:val="none"/>
              </w:rPr>
            </w:pPr>
            <w:r>
              <w:rPr>
                <w:rFonts w:hint="eastAsia" w:cs="Times New Roman" w:asciiTheme="minorEastAsia" w:hAnsiTheme="minorEastAsia" w:eastAsiaTheme="minorEastAsia"/>
                <w:kern w:val="0"/>
                <w:sz w:val="24"/>
                <w:szCs w:val="24"/>
                <w:highlight w:val="none"/>
              </w:rPr>
              <w:t>5</w:t>
            </w:r>
          </w:p>
        </w:tc>
        <w:tc>
          <w:tcPr>
            <w:tcW w:w="3402" w:type="dxa"/>
            <w:vAlign w:val="center"/>
          </w:tcPr>
          <w:p>
            <w:pPr>
              <w:spacing w:line="360" w:lineRule="exact"/>
              <w:jc w:val="left"/>
              <w:rPr>
                <w:rFonts w:cs="Times New Roman" w:asciiTheme="minorEastAsia" w:hAnsiTheme="minorEastAsia" w:eastAsiaTheme="minorEastAsia"/>
                <w:kern w:val="0"/>
                <w:sz w:val="24"/>
                <w:szCs w:val="24"/>
                <w:highlight w:val="none"/>
              </w:rPr>
            </w:pPr>
            <w:r>
              <w:rPr>
                <w:rFonts w:hint="eastAsia" w:cs="Times New Roman" w:asciiTheme="minorEastAsia" w:hAnsiTheme="minorEastAsia" w:eastAsiaTheme="minorEastAsia"/>
                <w:kern w:val="0"/>
                <w:sz w:val="24"/>
                <w:szCs w:val="24"/>
                <w:highlight w:val="none"/>
              </w:rPr>
              <w:t>募集资金中，社会化募资占比为 50% 的，得 3分；每增加 10%，得1分；最多得5分。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27" w:hRule="atLeast"/>
        </w:trPr>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4</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管理机构管理能力。管理机构累计管理私募股权基金的实缴规模（需在中基协已备案，实缴规模以基金在银行的资金入账凭证或第三方机构出具的审计报告为准）；或核心管理人员具有参与管理相应规模基金的经验。</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5</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管理机构累计管理的或核心管理人员参与管理的基金实缴规模在 20 亿元及以上的，得 5分；20 亿元以下的，以 20 亿元为基数按比例计算得分，计分公式：(基金实缴规模/ 20 亿元）×5分。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97" w:type="dxa"/>
            <w:gridSpan w:val="4"/>
            <w:vAlign w:val="center"/>
          </w:tcPr>
          <w:p>
            <w:pPr>
              <w:spacing w:beforeLines="50" w:afterLines="50" w:line="360" w:lineRule="exact"/>
              <w:jc w:val="center"/>
              <w:rPr>
                <w:rFonts w:cs="Times New Roman" w:asciiTheme="minorEastAsia" w:hAnsiTheme="minorEastAsia" w:eastAsiaTheme="minorEastAsia"/>
                <w:b/>
                <w:kern w:val="0"/>
                <w:sz w:val="24"/>
                <w:szCs w:val="24"/>
              </w:rPr>
            </w:pPr>
            <w:r>
              <w:rPr>
                <w:rFonts w:cs="Times New Roman" w:asciiTheme="minorEastAsia" w:hAnsiTheme="minorEastAsia" w:eastAsiaTheme="minorEastAsia"/>
                <w:b/>
                <w:kern w:val="0"/>
                <w:sz w:val="24"/>
                <w:szCs w:val="24"/>
              </w:rPr>
              <w:t>三</w:t>
            </w:r>
            <w:r>
              <w:rPr>
                <w:rFonts w:hint="eastAsia" w:cs="Times New Roman" w:asciiTheme="minorEastAsia" w:hAnsiTheme="minorEastAsia" w:eastAsiaTheme="minorEastAsia"/>
                <w:b/>
                <w:kern w:val="0"/>
                <w:sz w:val="24"/>
                <w:szCs w:val="24"/>
              </w:rPr>
              <w:t>、管理机构投资研究能力和业绩（30分）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5</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行业研究能力。对国内外及安徽省人工智能行业发展有深刻理解和把握，有较强产业链整合带动能力，对管理该产业子基金有良好的运作理念与思路。</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10</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综合打分。优秀的，得8-10分；良好的，6-8分；一般的，0-6分。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08" w:hRule="atLeast"/>
        </w:trPr>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6</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投资案例。2019 年 1 月 1 日以来，管理机构或核心管理人员在人工智能领域的投资案例。</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10</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投资案例每有1个得1分，最多得10分。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7</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管理业绩。管理机构或核心管理人员过往在人工智能领域投资项目实现上市、并购及投资收益情况。</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10</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过往投资项目实现上市、并购且收益为正的，每1个得2分，最多得10分。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97" w:type="dxa"/>
            <w:gridSpan w:val="4"/>
            <w:vAlign w:val="center"/>
          </w:tcPr>
          <w:p>
            <w:pPr>
              <w:spacing w:beforeLines="50" w:afterLines="50" w:line="360" w:lineRule="exact"/>
              <w:jc w:val="center"/>
              <w:rPr>
                <w:rFonts w:cs="Times New Roman" w:asciiTheme="minorEastAsia" w:hAnsiTheme="minorEastAsia" w:eastAsiaTheme="minorEastAsia"/>
                <w:b/>
                <w:kern w:val="0"/>
                <w:sz w:val="24"/>
                <w:szCs w:val="24"/>
              </w:rPr>
            </w:pPr>
            <w:r>
              <w:rPr>
                <w:rFonts w:cs="Times New Roman" w:asciiTheme="minorEastAsia" w:hAnsiTheme="minorEastAsia" w:eastAsiaTheme="minorEastAsia"/>
                <w:b/>
                <w:kern w:val="0"/>
                <w:sz w:val="24"/>
                <w:szCs w:val="24"/>
              </w:rPr>
              <w:t>四</w:t>
            </w:r>
            <w:r>
              <w:rPr>
                <w:rFonts w:hint="eastAsia" w:cs="Times New Roman" w:asciiTheme="minorEastAsia" w:hAnsiTheme="minorEastAsia" w:eastAsiaTheme="minorEastAsia"/>
                <w:b/>
                <w:kern w:val="0"/>
                <w:sz w:val="24"/>
                <w:szCs w:val="24"/>
              </w:rPr>
              <w:t>、</w:t>
            </w:r>
            <w:r>
              <w:rPr>
                <w:rFonts w:cs="Times New Roman" w:asciiTheme="minorEastAsia" w:hAnsiTheme="minorEastAsia" w:eastAsiaTheme="minorEastAsia"/>
                <w:b/>
                <w:kern w:val="0"/>
                <w:sz w:val="24"/>
                <w:szCs w:val="24"/>
              </w:rPr>
              <w:t>管理机构</w:t>
            </w:r>
            <w:r>
              <w:rPr>
                <w:rFonts w:hint="eastAsia" w:cs="Times New Roman" w:asciiTheme="minorEastAsia" w:hAnsiTheme="minorEastAsia" w:eastAsiaTheme="minorEastAsia"/>
                <w:b/>
                <w:kern w:val="0"/>
                <w:sz w:val="24"/>
                <w:szCs w:val="24"/>
              </w:rPr>
              <w:t>投资策略及项目储备（20分）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8</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投资策略可行性。管理机构对申报基金制定的投资策略，对拟投项目在区域、阶段的安排，投资进度计划等。</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10</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综合打分。优秀的，得 8-10分；良好的，6-8 分；一般的，0-6 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9</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项目储备情况。管理机构为基金开展投资准备的储备项目数量、拟投金额、招引落地等。</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10</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储备项目中，具备招引落地安徽的（以企业出具的承诺函为准），每1个得2分，最多得10分。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897" w:type="dxa"/>
            <w:gridSpan w:val="4"/>
            <w:vAlign w:val="center"/>
          </w:tcPr>
          <w:p>
            <w:pPr>
              <w:spacing w:beforeLines="50" w:afterLines="50" w:line="360" w:lineRule="exact"/>
              <w:jc w:val="center"/>
              <w:rPr>
                <w:rFonts w:cs="Times New Roman" w:asciiTheme="minorEastAsia" w:hAnsiTheme="minorEastAsia" w:eastAsiaTheme="minorEastAsia"/>
                <w:b/>
                <w:kern w:val="0"/>
                <w:sz w:val="24"/>
                <w:szCs w:val="24"/>
              </w:rPr>
            </w:pPr>
            <w:r>
              <w:rPr>
                <w:rFonts w:hint="eastAsia" w:cs="Times New Roman" w:asciiTheme="minorEastAsia" w:hAnsiTheme="minorEastAsia" w:eastAsiaTheme="minorEastAsia"/>
                <w:b/>
                <w:kern w:val="0"/>
                <w:sz w:val="24"/>
                <w:szCs w:val="24"/>
              </w:rPr>
              <w:t>五、管理机构其他综合实力（15分）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cs="Times New Roman" w:asciiTheme="minorEastAsia" w:hAnsiTheme="minorEastAsia" w:eastAsiaTheme="minorEastAsia"/>
                <w:kern w:val="0"/>
                <w:sz w:val="24"/>
                <w:szCs w:val="24"/>
              </w:rPr>
              <w:t>1</w:t>
            </w:r>
            <w:r>
              <w:rPr>
                <w:rFonts w:hint="eastAsia" w:cs="Times New Roman" w:asciiTheme="minorEastAsia" w:hAnsiTheme="minorEastAsia" w:eastAsiaTheme="minorEastAsia"/>
                <w:kern w:val="0"/>
                <w:sz w:val="24"/>
                <w:szCs w:val="24"/>
              </w:rPr>
              <w:t>0</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服务母基金能力。管理机构能为母基金、母基金管理机构提供的服务种类、内容等。</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5</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综合打分。优秀的，得 5分；良好的，得3 分；一般的，得2分。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11</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本地服务能力。管理机构在安徽省内已设置固定办公场所并配备专属且稳定的管理团队。</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5</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综合打分。优秀的，得 5分；良好的，得3 分；一般的，得2分。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2" w:hRule="atLeast"/>
        </w:trPr>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12</w:t>
            </w:r>
          </w:p>
        </w:tc>
        <w:tc>
          <w:tcPr>
            <w:tcW w:w="3543"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投后管理能力。管理机构提供后续增值服务的能力。</w:t>
            </w: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5</w:t>
            </w:r>
          </w:p>
        </w:tc>
        <w:tc>
          <w:tcPr>
            <w:tcW w:w="3402" w:type="dxa"/>
            <w:vAlign w:val="center"/>
          </w:tcPr>
          <w:p>
            <w:pPr>
              <w:spacing w:line="360" w:lineRule="exact"/>
              <w:jc w:val="left"/>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综合打分。优秀的，得 5分；良好的，得3 分；一般的，得2分。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0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合计</w:t>
            </w:r>
          </w:p>
        </w:tc>
        <w:tc>
          <w:tcPr>
            <w:tcW w:w="3543" w:type="dxa"/>
            <w:vAlign w:val="center"/>
          </w:tcPr>
          <w:p>
            <w:pPr>
              <w:spacing w:line="360" w:lineRule="exact"/>
              <w:jc w:val="center"/>
              <w:rPr>
                <w:rFonts w:cs="Times New Roman" w:asciiTheme="minorEastAsia" w:hAnsiTheme="minorEastAsia" w:eastAsiaTheme="minorEastAsia"/>
                <w:kern w:val="0"/>
                <w:sz w:val="24"/>
                <w:szCs w:val="24"/>
              </w:rPr>
            </w:pPr>
          </w:p>
        </w:tc>
        <w:tc>
          <w:tcPr>
            <w:tcW w:w="851" w:type="dxa"/>
            <w:vAlign w:val="center"/>
          </w:tcPr>
          <w:p>
            <w:pPr>
              <w:spacing w:line="360" w:lineRule="exact"/>
              <w:jc w:val="center"/>
              <w:rPr>
                <w:rFonts w:cs="Times New Roman" w:asciiTheme="minorEastAsia" w:hAnsiTheme="minorEastAsia" w:eastAsiaTheme="minorEastAsia"/>
                <w:kern w:val="0"/>
                <w:sz w:val="24"/>
                <w:szCs w:val="24"/>
              </w:rPr>
            </w:pPr>
            <w:r>
              <w:rPr>
                <w:rFonts w:hint="eastAsia" w:cs="Times New Roman" w:asciiTheme="minorEastAsia" w:hAnsiTheme="minorEastAsia" w:eastAsiaTheme="minorEastAsia"/>
                <w:kern w:val="0"/>
                <w:sz w:val="24"/>
                <w:szCs w:val="24"/>
              </w:rPr>
              <w:t>100</w:t>
            </w:r>
          </w:p>
        </w:tc>
        <w:tc>
          <w:tcPr>
            <w:tcW w:w="3402" w:type="dxa"/>
            <w:vAlign w:val="center"/>
          </w:tcPr>
          <w:p>
            <w:pPr>
              <w:spacing w:line="360" w:lineRule="exact"/>
              <w:jc w:val="center"/>
              <w:rPr>
                <w:rFonts w:cs="Times New Roman" w:asciiTheme="minorEastAsia" w:hAnsiTheme="minorEastAsia" w:eastAsiaTheme="minorEastAsia"/>
                <w:kern w:val="0"/>
                <w:sz w:val="24"/>
                <w:szCs w:val="24"/>
              </w:rPr>
            </w:pPr>
          </w:p>
        </w:tc>
      </w:tr>
    </w:tbl>
    <w:p>
      <w:pPr>
        <w:widowControl/>
        <w:spacing w:line="360" w:lineRule="exact"/>
        <w:jc w:val="left"/>
        <w:rPr>
          <w:rFonts w:cs="仿宋_GB2312" w:asciiTheme="minorEastAsia" w:hAnsiTheme="minorEastAsia"/>
          <w:color w:val="000000"/>
          <w:spacing w:val="4"/>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BhNDIyOGUxYTA1MzhhZTgxY2E0ZDA3NjI2MTBjZDAifQ=="/>
  </w:docVars>
  <w:rsids>
    <w:rsidRoot w:val="009D543B"/>
    <w:rsid w:val="0027746B"/>
    <w:rsid w:val="002E2464"/>
    <w:rsid w:val="003670FA"/>
    <w:rsid w:val="00455B37"/>
    <w:rsid w:val="004A2FFE"/>
    <w:rsid w:val="004C0D83"/>
    <w:rsid w:val="00521681"/>
    <w:rsid w:val="005E3C4F"/>
    <w:rsid w:val="00621FFA"/>
    <w:rsid w:val="006D0058"/>
    <w:rsid w:val="0075613D"/>
    <w:rsid w:val="007D28F3"/>
    <w:rsid w:val="008237D1"/>
    <w:rsid w:val="00842A34"/>
    <w:rsid w:val="00895071"/>
    <w:rsid w:val="009D543B"/>
    <w:rsid w:val="00A16E5A"/>
    <w:rsid w:val="00A93CED"/>
    <w:rsid w:val="00AC49C5"/>
    <w:rsid w:val="00B73347"/>
    <w:rsid w:val="00D72992"/>
    <w:rsid w:val="00EB4050"/>
    <w:rsid w:val="00F91D4E"/>
    <w:rsid w:val="04265325"/>
    <w:rsid w:val="48D05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next w:val="1"/>
    <w:link w:val="10"/>
    <w:qFormat/>
    <w:uiPriority w:val="0"/>
    <w:pPr>
      <w:spacing w:after="120" w:line="480" w:lineRule="auto"/>
      <w:ind w:left="420" w:leftChars="200"/>
    </w:pPr>
  </w:style>
  <w:style w:type="paragraph" w:styleId="3">
    <w:name w:val="footer"/>
    <w:basedOn w:val="1"/>
    <w:link w:val="9"/>
    <w:semiHidden/>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正文文本缩进 2 Char"/>
    <w:basedOn w:val="7"/>
    <w:link w:val="2"/>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207</Words>
  <Characters>1182</Characters>
  <Lines>9</Lines>
  <Paragraphs>2</Paragraphs>
  <TotalTime>94</TotalTime>
  <ScaleCrop>false</ScaleCrop>
  <LinksUpToDate>false</LinksUpToDate>
  <CharactersWithSpaces>1387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2022-12-30T04:37:00Z</dcterms:created>
  <dc:creator>刘婧</dc:creator>
  <cp:lastModifiedBy>投资部</cp:lastModifiedBy>
  <cp:lastPrinted>2022-12-30T07:45:00Z</cp:lastPrinted>
  <dcterms:modified xsi:type="dcterms:W3CDTF">2023-01-03T06:27:53Z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19110EF687B441DE95D05A0CF0E966D2</vt:lpwstr>
  </property>
</Properties>
</file>